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0F" w:rsidRPr="006F6307" w:rsidRDefault="0005320F" w:rsidP="00AB0184">
      <w:pPr>
        <w:jc w:val="center"/>
        <w:rPr>
          <w:rFonts w:cs="Times New Roman"/>
          <w:b/>
          <w:bCs/>
          <w:sz w:val="36"/>
          <w:szCs w:val="36"/>
        </w:rPr>
      </w:pPr>
      <w:r w:rsidRPr="006F6307">
        <w:rPr>
          <w:b/>
          <w:bCs/>
          <w:sz w:val="36"/>
          <w:szCs w:val="36"/>
        </w:rPr>
        <w:t>2016</w:t>
      </w:r>
      <w:r w:rsidRPr="006F6307">
        <w:rPr>
          <w:rFonts w:cs="宋体" w:hint="eastAsia"/>
          <w:b/>
          <w:bCs/>
          <w:sz w:val="36"/>
          <w:szCs w:val="36"/>
        </w:rPr>
        <w:t>年校级科研项目申报指南</w:t>
      </w:r>
    </w:p>
    <w:p w:rsidR="0005320F" w:rsidRDefault="0005320F" w:rsidP="006F6307">
      <w:pPr>
        <w:ind w:firstLineChars="200" w:firstLine="31680"/>
        <w:jc w:val="left"/>
        <w:rPr>
          <w:rFonts w:cs="Times New Roman"/>
          <w:sz w:val="28"/>
          <w:szCs w:val="28"/>
        </w:rPr>
      </w:pPr>
    </w:p>
    <w:p w:rsidR="0005320F" w:rsidRPr="00C51AF9" w:rsidRDefault="0005320F" w:rsidP="006F6307">
      <w:pPr>
        <w:autoSpaceDN w:val="0"/>
        <w:spacing w:line="440" w:lineRule="exact"/>
        <w:jc w:val="left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一、</w:t>
      </w:r>
      <w:r w:rsidRPr="00C51AF9">
        <w:rPr>
          <w:rFonts w:ascii="宋体" w:hAnsi="宋体" w:cs="宋体" w:hint="eastAsia"/>
          <w:b/>
          <w:bCs/>
          <w:color w:val="000000"/>
          <w:sz w:val="28"/>
          <w:szCs w:val="28"/>
        </w:rPr>
        <w:t>课题分类与经费支持</w:t>
      </w:r>
    </w:p>
    <w:p w:rsidR="0005320F" w:rsidRPr="00C51AF9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C51AF9">
        <w:rPr>
          <w:rFonts w:ascii="宋体" w:hAnsi="宋体" w:cs="宋体"/>
          <w:color w:val="000000"/>
          <w:sz w:val="28"/>
          <w:szCs w:val="28"/>
        </w:rPr>
        <w:t>1.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本年度</w:t>
      </w:r>
      <w:r>
        <w:rPr>
          <w:rFonts w:ascii="宋体" w:hAnsi="宋体" w:cs="宋体" w:hint="eastAsia"/>
          <w:color w:val="000000"/>
          <w:sz w:val="28"/>
          <w:szCs w:val="28"/>
        </w:rPr>
        <w:t>校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级科研项目的课题设置为：自然科学类一般项目、重点项目；</w:t>
      </w:r>
      <w:r>
        <w:rPr>
          <w:rFonts w:ascii="宋体" w:hAnsi="宋体" w:cs="宋体" w:hint="eastAsia"/>
          <w:color w:val="000000"/>
          <w:sz w:val="28"/>
          <w:szCs w:val="28"/>
        </w:rPr>
        <w:t>哲学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社科类一般项目、重点项目。</w:t>
      </w:r>
    </w:p>
    <w:p w:rsidR="0005320F" w:rsidRPr="00C51AF9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C51AF9">
        <w:rPr>
          <w:rFonts w:ascii="宋体" w:hAnsi="宋体" w:cs="宋体" w:hint="eastAsia"/>
          <w:color w:val="000000"/>
          <w:sz w:val="28"/>
          <w:szCs w:val="28"/>
        </w:rPr>
        <w:t>一般项目主要是支持和培育中级</w:t>
      </w:r>
      <w:r>
        <w:rPr>
          <w:rFonts w:ascii="宋体" w:hAnsi="宋体" w:cs="宋体" w:hint="eastAsia"/>
          <w:color w:val="000000"/>
          <w:sz w:val="28"/>
          <w:szCs w:val="28"/>
        </w:rPr>
        <w:t>及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以下专业技术职务的人员开展科学研究，研究项目主要涉及解决区域经济建设、学</w:t>
      </w:r>
      <w:r>
        <w:rPr>
          <w:rFonts w:ascii="宋体" w:hAnsi="宋体" w:cs="宋体" w:hint="eastAsia"/>
          <w:color w:val="000000"/>
          <w:sz w:val="28"/>
          <w:szCs w:val="28"/>
        </w:rPr>
        <w:t>校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建设发</w:t>
      </w:r>
      <w:r>
        <w:rPr>
          <w:rFonts w:ascii="宋体" w:hAnsi="宋体" w:cs="宋体" w:hint="eastAsia"/>
          <w:color w:val="000000"/>
          <w:sz w:val="28"/>
          <w:szCs w:val="28"/>
        </w:rPr>
        <w:t>展等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一般问题。</w:t>
      </w:r>
    </w:p>
    <w:p w:rsidR="0005320F" w:rsidRPr="00C51AF9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C51AF9">
        <w:rPr>
          <w:rFonts w:ascii="宋体" w:hAnsi="宋体" w:cs="宋体" w:hint="eastAsia"/>
          <w:color w:val="000000"/>
          <w:sz w:val="28"/>
          <w:szCs w:val="28"/>
        </w:rPr>
        <w:t>重点项目主要支持</w:t>
      </w:r>
      <w:r>
        <w:rPr>
          <w:rFonts w:ascii="宋体" w:hAnsi="宋体" w:cs="宋体" w:hint="eastAsia"/>
          <w:color w:val="000000"/>
          <w:sz w:val="28"/>
          <w:szCs w:val="28"/>
        </w:rPr>
        <w:t>副高及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以上专业技术职务人员申报，研究项目主要涉及解决区域经济建设、学</w:t>
      </w:r>
      <w:r>
        <w:rPr>
          <w:rFonts w:ascii="宋体" w:hAnsi="宋体" w:cs="宋体" w:hint="eastAsia"/>
          <w:color w:val="000000"/>
          <w:sz w:val="28"/>
          <w:szCs w:val="28"/>
        </w:rPr>
        <w:t>校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建设发展等的重大问题，并</w:t>
      </w:r>
      <w:r>
        <w:rPr>
          <w:rFonts w:ascii="宋体" w:hAnsi="宋体" w:cs="宋体" w:hint="eastAsia"/>
          <w:color w:val="000000"/>
          <w:sz w:val="28"/>
          <w:szCs w:val="28"/>
        </w:rPr>
        <w:t>将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作为省级课题申报的备选</w:t>
      </w:r>
      <w:r>
        <w:rPr>
          <w:rFonts w:ascii="宋体" w:hAnsi="宋体" w:cs="宋体" w:hint="eastAsia"/>
          <w:color w:val="000000"/>
          <w:sz w:val="28"/>
          <w:szCs w:val="28"/>
        </w:rPr>
        <w:t>课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题。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C51AF9">
        <w:rPr>
          <w:rFonts w:ascii="宋体" w:hAnsi="宋体" w:cs="宋体"/>
          <w:color w:val="000000"/>
          <w:sz w:val="28"/>
          <w:szCs w:val="28"/>
        </w:rPr>
        <w:t>2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、原则上自然科学类一般项目支持经费</w:t>
      </w:r>
      <w:r w:rsidRPr="00C51AF9">
        <w:rPr>
          <w:rFonts w:ascii="宋体" w:hAnsi="宋体" w:cs="宋体"/>
          <w:color w:val="000000"/>
          <w:sz w:val="28"/>
          <w:szCs w:val="28"/>
        </w:rPr>
        <w:t>1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万元以内，重点项目支持经费</w:t>
      </w:r>
      <w:r w:rsidRPr="00C51AF9">
        <w:rPr>
          <w:rFonts w:ascii="宋体" w:hAnsi="宋体" w:cs="宋体"/>
          <w:color w:val="000000"/>
          <w:sz w:val="28"/>
          <w:szCs w:val="28"/>
        </w:rPr>
        <w:t>3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万元以内；</w:t>
      </w:r>
      <w:r>
        <w:rPr>
          <w:rFonts w:ascii="宋体" w:hAnsi="宋体" w:cs="宋体" w:hint="eastAsia"/>
          <w:color w:val="000000"/>
          <w:sz w:val="28"/>
          <w:szCs w:val="28"/>
        </w:rPr>
        <w:t>哲学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社科类一般项目支持经费</w:t>
      </w:r>
      <w:r w:rsidRPr="00C51AF9">
        <w:rPr>
          <w:rFonts w:ascii="宋体" w:hAnsi="宋体" w:cs="宋体"/>
          <w:color w:val="000000"/>
          <w:sz w:val="28"/>
          <w:szCs w:val="28"/>
        </w:rPr>
        <w:t>0.4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万元以内，重点项目支持经费</w:t>
      </w:r>
      <w:r w:rsidRPr="00C51AF9">
        <w:rPr>
          <w:rFonts w:ascii="宋体" w:hAnsi="宋体" w:cs="宋体"/>
          <w:color w:val="000000"/>
          <w:sz w:val="28"/>
          <w:szCs w:val="28"/>
        </w:rPr>
        <w:t>0.8</w:t>
      </w:r>
      <w:r w:rsidRPr="00C51AF9">
        <w:rPr>
          <w:rFonts w:ascii="宋体" w:hAnsi="宋体" w:cs="宋体" w:hint="eastAsia"/>
          <w:color w:val="000000"/>
          <w:sz w:val="28"/>
          <w:szCs w:val="28"/>
        </w:rPr>
        <w:t>万元以内。</w:t>
      </w:r>
    </w:p>
    <w:p w:rsidR="0005320F" w:rsidRPr="006F6307" w:rsidRDefault="0005320F" w:rsidP="006F6307">
      <w:pPr>
        <w:autoSpaceDN w:val="0"/>
        <w:spacing w:line="440" w:lineRule="exact"/>
        <w:jc w:val="left"/>
        <w:rPr>
          <w:rFonts w:ascii="宋体" w:cs="宋体"/>
          <w:b/>
          <w:bCs/>
          <w:color w:val="000000"/>
          <w:sz w:val="28"/>
          <w:szCs w:val="28"/>
        </w:rPr>
      </w:pPr>
      <w:r w:rsidRPr="006F6307">
        <w:rPr>
          <w:rFonts w:ascii="宋体" w:hAnsi="宋体" w:cs="宋体" w:hint="eastAsia"/>
          <w:b/>
          <w:bCs/>
          <w:color w:val="000000"/>
          <w:sz w:val="28"/>
          <w:szCs w:val="28"/>
        </w:rPr>
        <w:t>二、选题指南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 w:hint="eastAsia"/>
          <w:color w:val="000000"/>
          <w:sz w:val="28"/>
          <w:szCs w:val="28"/>
        </w:rPr>
        <w:t>自然科学研究项目选题要围绕服务区域经济建设、服务行业和社会、服务学校建设发展、服务高质量职业技术人才培养。学校支持面向航空、汽车、电子信息、建筑等行业和社会公共服务开展科学研究，特别是对新材料、新技术、新工艺的推广与应用、实用技术开发与服务、以及科技成果转化等有促进作用的项目。学校优先支持与企业合作共同研发、用户委托开发等具有实用价值的项目。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哲学社科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研究项目选题要紧密围绕《成都航空职业技术学院</w:t>
      </w:r>
      <w:r w:rsidRPr="006F6307">
        <w:rPr>
          <w:rFonts w:ascii="宋体" w:hAnsi="宋体" w:cs="宋体"/>
          <w:color w:val="000000"/>
          <w:sz w:val="28"/>
          <w:szCs w:val="28"/>
        </w:rPr>
        <w:t xml:space="preserve"> 2016 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年工作要点》，结合学校实情和高等职业职业教育发展趋势，旨在引导教师对促进社会发展的人文、管理、教育教学等方面开展研究。项目申请人可以此为参考开展研究，也可根据工作实际自拟选题。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一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、体制机制创新研究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1.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高职院校完善学术组织机构的创新研究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2.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高职院校治理结构与治理能力现代化研究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3.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高职学生思想政治教育协同机制改革研究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4.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构建军地协同育人机制的研究与实践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二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、职业教育发展与提高人才培养质量研究</w:t>
      </w:r>
      <w:r w:rsidRPr="006F6307"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1.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基于《中国制造</w:t>
      </w:r>
      <w:r w:rsidRPr="006F6307">
        <w:rPr>
          <w:rFonts w:ascii="宋体" w:hAnsi="宋体" w:cs="宋体"/>
          <w:color w:val="000000"/>
          <w:sz w:val="28"/>
          <w:szCs w:val="28"/>
        </w:rPr>
        <w:t>2025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》战略的高职专业建设研究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2.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产教融合教学质量指标体系与评价方式研究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3.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基于</w:t>
      </w:r>
      <w:r w:rsidRPr="006F6307">
        <w:rPr>
          <w:rFonts w:ascii="宋体" w:hAnsi="宋体" w:cs="宋体"/>
          <w:color w:val="000000"/>
          <w:sz w:val="28"/>
          <w:szCs w:val="28"/>
        </w:rPr>
        <w:t>XX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专业的现代学徒制实践探索研究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 xml:space="preserve">4. 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基于区域经济社会发展的技术技能人才培养结构研究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5.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基于产教融合的中高职衔接高技能人才培养模式与机制创新研究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6.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将“工匠精神”融入职业教育人才培养模式研究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7.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信息化背景下职业院校教育教学资源建设的共享模式研究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8.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职业院校内部质量保证体系诊断与改进问题的研究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9.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职业教育信息化建设趋势、目标与实现路径研究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三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、学生素质教育和思想教育研究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1.</w:t>
      </w:r>
      <w:r w:rsidRPr="006F6307">
        <w:rPr>
          <w:rFonts w:ascii="宋体" w:hAnsi="宋体" w:cs="宋体"/>
          <w:color w:val="000000"/>
          <w:sz w:val="28"/>
          <w:szCs w:val="28"/>
        </w:rPr>
        <w:tab/>
      </w:r>
      <w:r w:rsidRPr="006F6307">
        <w:rPr>
          <w:rFonts w:ascii="宋体" w:hAnsi="宋体" w:cs="宋体" w:hint="eastAsia"/>
          <w:color w:val="000000"/>
          <w:sz w:val="28"/>
          <w:szCs w:val="28"/>
        </w:rPr>
        <w:t>提高学生职业技能和培养职业精神相融合的研究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2.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高职学生创新创业教育实践体系研究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3.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大学生诚信观的引导研究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4.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高职院校学生实习安全保障研究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5.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培养工匠精神</w:t>
      </w:r>
      <w:r w:rsidRPr="006F6307">
        <w:rPr>
          <w:rFonts w:ascii="宋体" w:hAnsi="宋体" w:cs="宋体"/>
          <w:color w:val="000000"/>
          <w:sz w:val="28"/>
          <w:szCs w:val="28"/>
        </w:rPr>
        <w:t>,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提高学生职业素养的路径研究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6.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在大学生中培育和践行社会主义核心价值观的有效途径研究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7.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高职院校班级管理模式创新研究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8.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新媒体环境下加强大学生社会主义核心价值观教育研究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9.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高职学生契约精神养成的研究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10.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新媒体对高校学生思想的影响及应对策略研究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11.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职业院校学生创新创业保障机制研究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四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、师资队伍建设研究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1.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职业院校教师成长规律与有效培养途径研究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2.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高校院校辅导员职业能力提升路径与方法研究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 w:hint="eastAsia"/>
          <w:color w:val="000000"/>
          <w:sz w:val="28"/>
          <w:szCs w:val="28"/>
        </w:rPr>
        <w:t>五、教育教学、社会服务等方面研究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1.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高职院校储备干部选拔与培养工作研究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2.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提高职业院校社会服务能力的策略</w:t>
      </w:r>
      <w:bookmarkStart w:id="0" w:name="_GoBack"/>
      <w:bookmarkEnd w:id="0"/>
      <w:r w:rsidRPr="006F6307">
        <w:rPr>
          <w:rFonts w:ascii="宋体" w:hAnsi="宋体" w:cs="宋体" w:hint="eastAsia"/>
          <w:color w:val="000000"/>
          <w:sz w:val="28"/>
          <w:szCs w:val="28"/>
        </w:rPr>
        <w:t>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3. ******</w:t>
      </w:r>
      <w:r w:rsidRPr="006F6307">
        <w:rPr>
          <w:rFonts w:ascii="宋体" w:hAnsi="宋体" w:cs="宋体" w:hint="eastAsia"/>
          <w:color w:val="000000"/>
          <w:sz w:val="28"/>
          <w:szCs w:val="28"/>
        </w:rPr>
        <w:t>教育教学方法、技术、策略创新研究</w:t>
      </w:r>
    </w:p>
    <w:p w:rsidR="0005320F" w:rsidRPr="006F6307" w:rsidRDefault="0005320F" w:rsidP="006F6307">
      <w:pPr>
        <w:autoSpaceDN w:val="0"/>
        <w:spacing w:line="440" w:lineRule="exact"/>
        <w:ind w:firstLine="560"/>
        <w:jc w:val="left"/>
        <w:rPr>
          <w:rFonts w:ascii="宋体" w:hAnsi="宋体" w:cs="宋体"/>
          <w:color w:val="000000"/>
          <w:sz w:val="28"/>
          <w:szCs w:val="28"/>
        </w:rPr>
      </w:pPr>
      <w:r w:rsidRPr="006F6307">
        <w:rPr>
          <w:rFonts w:ascii="宋体" w:hAnsi="宋体" w:cs="宋体"/>
          <w:color w:val="000000"/>
          <w:sz w:val="28"/>
          <w:szCs w:val="28"/>
        </w:rPr>
        <w:t>4.******</w:t>
      </w:r>
    </w:p>
    <w:sectPr w:rsidR="0005320F" w:rsidRPr="006F6307" w:rsidSect="00BF72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20F" w:rsidRDefault="0005320F" w:rsidP="001036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5320F" w:rsidRDefault="0005320F" w:rsidP="001036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20F" w:rsidRDefault="0005320F" w:rsidP="001036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5320F" w:rsidRDefault="0005320F" w:rsidP="001036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6110"/>
    <w:multiLevelType w:val="hybridMultilevel"/>
    <w:tmpl w:val="2B2492DE"/>
    <w:lvl w:ilvl="0" w:tplc="475890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EA3FBD"/>
    <w:multiLevelType w:val="hybridMultilevel"/>
    <w:tmpl w:val="AFE448C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783804"/>
    <w:multiLevelType w:val="hybridMultilevel"/>
    <w:tmpl w:val="32B6BB06"/>
    <w:lvl w:ilvl="0" w:tplc="5DFE31A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2" w:hanging="420"/>
      </w:pPr>
    </w:lvl>
    <w:lvl w:ilvl="2" w:tplc="0409001B">
      <w:start w:val="1"/>
      <w:numFmt w:val="lowerRoman"/>
      <w:lvlText w:val="%3."/>
      <w:lvlJc w:val="right"/>
      <w:pPr>
        <w:ind w:left="1822" w:hanging="420"/>
      </w:pPr>
    </w:lvl>
    <w:lvl w:ilvl="3" w:tplc="0409000F">
      <w:start w:val="1"/>
      <w:numFmt w:val="decimal"/>
      <w:lvlText w:val="%4."/>
      <w:lvlJc w:val="left"/>
      <w:pPr>
        <w:ind w:left="2242" w:hanging="420"/>
      </w:pPr>
    </w:lvl>
    <w:lvl w:ilvl="4" w:tplc="04090019">
      <w:start w:val="1"/>
      <w:numFmt w:val="lowerLetter"/>
      <w:lvlText w:val="%5)"/>
      <w:lvlJc w:val="left"/>
      <w:pPr>
        <w:ind w:left="2662" w:hanging="420"/>
      </w:pPr>
    </w:lvl>
    <w:lvl w:ilvl="5" w:tplc="0409001B">
      <w:start w:val="1"/>
      <w:numFmt w:val="lowerRoman"/>
      <w:lvlText w:val="%6."/>
      <w:lvlJc w:val="right"/>
      <w:pPr>
        <w:ind w:left="3082" w:hanging="420"/>
      </w:pPr>
    </w:lvl>
    <w:lvl w:ilvl="6" w:tplc="0409000F">
      <w:start w:val="1"/>
      <w:numFmt w:val="decimal"/>
      <w:lvlText w:val="%7."/>
      <w:lvlJc w:val="left"/>
      <w:pPr>
        <w:ind w:left="3502" w:hanging="420"/>
      </w:pPr>
    </w:lvl>
    <w:lvl w:ilvl="7" w:tplc="04090019">
      <w:start w:val="1"/>
      <w:numFmt w:val="lowerLetter"/>
      <w:lvlText w:val="%8)"/>
      <w:lvlJc w:val="left"/>
      <w:pPr>
        <w:ind w:left="3922" w:hanging="420"/>
      </w:pPr>
    </w:lvl>
    <w:lvl w:ilvl="8" w:tplc="0409001B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5F5874A4"/>
    <w:multiLevelType w:val="hybridMultilevel"/>
    <w:tmpl w:val="B69CFBFE"/>
    <w:lvl w:ilvl="0" w:tplc="38602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0184"/>
    <w:rsid w:val="00003DC4"/>
    <w:rsid w:val="00023165"/>
    <w:rsid w:val="0005320F"/>
    <w:rsid w:val="0010361C"/>
    <w:rsid w:val="001452D4"/>
    <w:rsid w:val="001E1316"/>
    <w:rsid w:val="001E66D9"/>
    <w:rsid w:val="001F5493"/>
    <w:rsid w:val="002B0DA5"/>
    <w:rsid w:val="003073BF"/>
    <w:rsid w:val="00380C91"/>
    <w:rsid w:val="00470E06"/>
    <w:rsid w:val="0050343F"/>
    <w:rsid w:val="00556EDE"/>
    <w:rsid w:val="005D0523"/>
    <w:rsid w:val="005F283E"/>
    <w:rsid w:val="0061221D"/>
    <w:rsid w:val="006F6307"/>
    <w:rsid w:val="00720BFE"/>
    <w:rsid w:val="00732B5F"/>
    <w:rsid w:val="00772449"/>
    <w:rsid w:val="00772916"/>
    <w:rsid w:val="00785686"/>
    <w:rsid w:val="00796863"/>
    <w:rsid w:val="008642C9"/>
    <w:rsid w:val="008C500F"/>
    <w:rsid w:val="0098011F"/>
    <w:rsid w:val="00AA5C75"/>
    <w:rsid w:val="00AB0184"/>
    <w:rsid w:val="00AD30B6"/>
    <w:rsid w:val="00AF078C"/>
    <w:rsid w:val="00B10628"/>
    <w:rsid w:val="00B94477"/>
    <w:rsid w:val="00BB3ED4"/>
    <w:rsid w:val="00BF2CF3"/>
    <w:rsid w:val="00BF724E"/>
    <w:rsid w:val="00C163A2"/>
    <w:rsid w:val="00C17419"/>
    <w:rsid w:val="00C270DD"/>
    <w:rsid w:val="00C51AF9"/>
    <w:rsid w:val="00CC10B4"/>
    <w:rsid w:val="00E55ACF"/>
    <w:rsid w:val="00E56A81"/>
    <w:rsid w:val="00EA412E"/>
    <w:rsid w:val="00F425CE"/>
    <w:rsid w:val="00FC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4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0184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103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0361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103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36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198</Words>
  <Characters>1135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2016年校级哲学社会科学研究项目申报指南</dc:title>
  <dc:subject/>
  <dc:creator>SCDC</dc:creator>
  <cp:keywords/>
  <dc:description/>
  <cp:lastModifiedBy>微软用户</cp:lastModifiedBy>
  <cp:revision>2</cp:revision>
  <dcterms:created xsi:type="dcterms:W3CDTF">2016-07-07T02:15:00Z</dcterms:created>
  <dcterms:modified xsi:type="dcterms:W3CDTF">2016-07-07T02:15:00Z</dcterms:modified>
</cp:coreProperties>
</file>